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1201"/>
        <w:gridCol w:w="1501"/>
        <w:gridCol w:w="1703"/>
        <w:gridCol w:w="1440"/>
        <w:gridCol w:w="1440"/>
        <w:gridCol w:w="1620"/>
        <w:gridCol w:w="1350"/>
        <w:gridCol w:w="1440"/>
        <w:gridCol w:w="1440"/>
        <w:gridCol w:w="1350"/>
      </w:tblGrid>
      <w:tr w:rsidR="00491E6C" w:rsidRPr="007425D2" w:rsidTr="003B1950">
        <w:trPr>
          <w:tblHeader/>
        </w:trPr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1501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ICELAND</w:t>
            </w:r>
          </w:p>
        </w:tc>
        <w:tc>
          <w:tcPr>
            <w:tcW w:w="1703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SWEDEN 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NORWAY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DENMARK</w:t>
            </w:r>
          </w:p>
        </w:tc>
        <w:tc>
          <w:tcPr>
            <w:tcW w:w="162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HAARLEM, NETHERLANDS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ESTONIA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ZAGREB, CROATIA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BULGARIA 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PROMISE STANDARDS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MDCK Haarlem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Child and Youth Protection Centre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Child Advocacy and Protection Centre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Leading institution  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Formally embedded in the government agency for child protection. 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government agency provides legal and other professional guidance and is responsible for administrative issues </w:t>
            </w:r>
          </w:p>
        </w:tc>
        <w:tc>
          <w:tcPr>
            <w:tcW w:w="1703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Network of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Formally embedded in the national agency for child and adolescent psychiatry and the social welfare service/child protection service.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Ministry of Police and Public Security 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in Norway are organised as separate units within the police district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where they are located, and the regular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staff are employed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as civilians in the police districts.</w:t>
            </w:r>
            <w:r w:rsidRPr="007425D2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five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are independent units that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are supported and supervised by the National Board of Social Services.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The administrative structure indicates a strong connection to the child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welfare system in Denmark.</w:t>
            </w:r>
          </w:p>
        </w:tc>
        <w:tc>
          <w:tcPr>
            <w:tcW w:w="1620" w:type="dxa"/>
          </w:tcPr>
          <w:p w:rsidR="00491E6C" w:rsidRPr="007425D2" w:rsidRDefault="00491E6C" w:rsidP="00E41C46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The MDCK is a network of organisations including safe at home, youth protection, medical, judicial/law enforcement, health and youth care organizations</w:t>
            </w:r>
          </w:p>
          <w:p w:rsidR="00491E6C" w:rsidRPr="007425D2" w:rsidRDefault="00491E6C" w:rsidP="00E41C46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Social Insurance Board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The Center is embedded in the healthcare system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NGOs in coopera</w:t>
            </w:r>
            <w:r w:rsidR="003B1950">
              <w:rPr>
                <w:rFonts w:cstheme="minorHAnsi"/>
              </w:rPr>
              <w:t xml:space="preserve">tion with municipal authorities. Municipalities are the main social service providers in the country and they can outsource social service provision to NGOs and other private providers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Multi-sectoral cooperation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Collaboration with the courts, the district prosecution, the police, the university </w:t>
            </w:r>
            <w:r w:rsidRPr="007425D2">
              <w:rPr>
                <w:rFonts w:cstheme="minorHAnsi"/>
              </w:rPr>
              <w:lastRenderedPageBreak/>
              <w:t xml:space="preserve">hospital and the local child protection which are partners of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</w:p>
        </w:tc>
        <w:tc>
          <w:tcPr>
            <w:tcW w:w="1703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A formal agreement signed by the leadership of each participating agency governs </w:t>
            </w:r>
            <w:r w:rsidRPr="007425D2">
              <w:rPr>
                <w:rFonts w:cstheme="minorHAnsi"/>
              </w:rPr>
              <w:lastRenderedPageBreak/>
              <w:t xml:space="preserve">the interagency collaboration, operation and funding of 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>.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lastRenderedPageBreak/>
              <w:t>The child welfare services are more peripheral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than in many other </w:t>
            </w:r>
            <w:r w:rsidRPr="007425D2">
              <w:rPr>
                <w:rFonts w:cstheme="minorHAnsi"/>
                <w:sz w:val="23"/>
                <w:szCs w:val="23"/>
              </w:rPr>
              <w:lastRenderedPageBreak/>
              <w:t xml:space="preserve">Nordic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models, since they are not formally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 part of the collaborative model, even though they can participate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when necessary, which is often the case.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lastRenderedPageBreak/>
              <w:t xml:space="preserve">In Denmark, the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model is most strongly connected </w:t>
            </w:r>
            <w:r w:rsidRPr="007425D2">
              <w:rPr>
                <w:rFonts w:cstheme="minorHAnsi"/>
                <w:sz w:val="23"/>
                <w:szCs w:val="23"/>
              </w:rPr>
              <w:lastRenderedPageBreak/>
              <w:t>to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child welfare services, even though the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also facilitates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police and their child investigative interviews. </w:t>
            </w:r>
            <w:r w:rsidR="003B1950">
              <w:rPr>
                <w:rFonts w:cstheme="minorHAnsi"/>
                <w:sz w:val="23"/>
                <w:szCs w:val="23"/>
              </w:rPr>
              <w:t>T</w:t>
            </w:r>
            <w:r w:rsidRPr="007425D2">
              <w:rPr>
                <w:rFonts w:cstheme="minorHAnsi"/>
                <w:sz w:val="23"/>
                <w:szCs w:val="23"/>
              </w:rPr>
              <w:t>he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municipality local child welfare services</w:t>
            </w:r>
            <w:r w:rsidR="003B1950">
              <w:rPr>
                <w:rFonts w:cstheme="minorHAnsi"/>
                <w:sz w:val="23"/>
                <w:szCs w:val="23"/>
              </w:rPr>
              <w:t xml:space="preserve"> </w:t>
            </w:r>
            <w:r w:rsidRPr="007425D2">
              <w:rPr>
                <w:rFonts w:cstheme="minorHAnsi"/>
                <w:sz w:val="23"/>
                <w:szCs w:val="23"/>
              </w:rPr>
              <w:t>are the responsible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and key agency in the Danish model through which all cases are</w:t>
            </w:r>
          </w:p>
          <w:p w:rsidR="00491E6C" w:rsidRPr="007425D2" w:rsidRDefault="003B1950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channeled</w:t>
            </w:r>
            <w:r w:rsidR="00491E6C" w:rsidRPr="007425D2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A collaboration agreement signed by the leadership of each participating agency governs </w:t>
            </w:r>
            <w:r w:rsidRPr="007425D2">
              <w:rPr>
                <w:rFonts w:cstheme="minorHAnsi"/>
              </w:rPr>
              <w:lastRenderedPageBreak/>
              <w:t>the interagency collaboration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Collaboration agreement between the Social Insurance Board, </w:t>
            </w:r>
            <w:r w:rsidRPr="007425D2">
              <w:rPr>
                <w:rFonts w:cstheme="minorHAnsi"/>
              </w:rPr>
              <w:lastRenderedPageBreak/>
              <w:t xml:space="preserve">Police and Border Guard Board, Public Prosecutor’s Office, Estonian Forensic Science Institute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The interagency collaboration is governed by governmental protocols of </w:t>
            </w:r>
            <w:r w:rsidRPr="007425D2">
              <w:rPr>
                <w:rFonts w:cstheme="minorHAnsi"/>
              </w:rPr>
              <w:lastRenderedPageBreak/>
              <w:t>procedure in cases of abuse.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Cooperation with the police, social welfare and the judicial system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  <w:lang w:val="bg-BG"/>
              </w:rPr>
            </w:pPr>
            <w:r w:rsidRPr="007425D2">
              <w:rPr>
                <w:rFonts w:cstheme="minorHAnsi"/>
              </w:rPr>
              <w:lastRenderedPageBreak/>
              <w:t xml:space="preserve">Local agreements with child protection, police, prosecution and justice </w:t>
            </w:r>
          </w:p>
        </w:tc>
        <w:tc>
          <w:tcPr>
            <w:tcW w:w="1350" w:type="dxa"/>
          </w:tcPr>
          <w:p w:rsidR="00491E6C" w:rsidRPr="003B1950" w:rsidRDefault="007425D2">
            <w:pPr>
              <w:rPr>
                <w:rFonts w:cstheme="minorHAnsi"/>
              </w:rPr>
            </w:pPr>
            <w:r w:rsidRPr="003B1950">
              <w:rPr>
                <w:rFonts w:eastAsia="Calibri" w:cstheme="minorHAnsi"/>
              </w:rPr>
              <w:t xml:space="preserve">Formal, written agreements, signed by </w:t>
            </w:r>
            <w:proofErr w:type="spellStart"/>
            <w:r w:rsidRPr="003B1950">
              <w:rPr>
                <w:rFonts w:eastAsia="Calibri" w:cstheme="minorHAnsi"/>
              </w:rPr>
              <w:t>authorised</w:t>
            </w:r>
            <w:proofErr w:type="spellEnd"/>
            <w:r w:rsidRPr="003B1950">
              <w:rPr>
                <w:rFonts w:eastAsia="Calibri" w:cstheme="minorHAnsi"/>
              </w:rPr>
              <w:t xml:space="preserve"> representatives that </w:t>
            </w:r>
            <w:r w:rsidRPr="003B1950">
              <w:rPr>
                <w:rFonts w:eastAsia="Calibri" w:cstheme="minorHAnsi"/>
              </w:rPr>
              <w:lastRenderedPageBreak/>
              <w:t xml:space="preserve">commit the respective agencies (social/child protection, police, prosecutors, medical and mental health) to multi-disciplinary and interagency collaboration are in place.  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lastRenderedPageBreak/>
              <w:t xml:space="preserve">Funding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government agency ensures funding, financial and staff management. 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is financed with public funding. The participating agencies share the costs for 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on an equal basis.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MDCK premise and running costs are financed together by the hospital, the police and the local government; however the participating organizations and (local) </w:t>
            </w:r>
            <w:proofErr w:type="spellStart"/>
            <w:r w:rsidRPr="007425D2">
              <w:rPr>
                <w:rFonts w:cstheme="minorHAnsi"/>
              </w:rPr>
              <w:t>governement</w:t>
            </w:r>
            <w:proofErr w:type="spellEnd"/>
            <w:r w:rsidRPr="007425D2">
              <w:rPr>
                <w:rFonts w:cstheme="minorHAnsi"/>
              </w:rPr>
              <w:t xml:space="preserve"> have not formally regulated contributions and the budget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Social Insurance Board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The Center is financed from two funding sources: healthcare insurance and funding by the city government of Zagreb.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Project based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Key functions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Coordinates interagency collaboration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Coordinates interagency collaboration</w:t>
            </w:r>
            <w:r w:rsidR="00DD722F">
              <w:rPr>
                <w:rFonts w:cstheme="minorHAnsi"/>
              </w:rPr>
              <w:t>, planning and case management</w:t>
            </w:r>
          </w:p>
        </w:tc>
        <w:tc>
          <w:tcPr>
            <w:tcW w:w="1440" w:type="dxa"/>
          </w:tcPr>
          <w:p w:rsidR="00491E6C" w:rsidRDefault="00DD722F" w:rsidP="007145C2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</w:t>
            </w:r>
            <w:r w:rsidR="00491E6C" w:rsidRPr="007425D2">
              <w:rPr>
                <w:rFonts w:cstheme="minorHAnsi"/>
                <w:sz w:val="23"/>
                <w:szCs w:val="23"/>
              </w:rPr>
              <w:t>acilitating investigative interviews in a supportive environment</w:t>
            </w:r>
          </w:p>
          <w:p w:rsidR="00DD722F" w:rsidRDefault="00DD722F" w:rsidP="007145C2">
            <w:pPr>
              <w:rPr>
                <w:rFonts w:cstheme="minorHAnsi"/>
                <w:sz w:val="23"/>
                <w:szCs w:val="23"/>
              </w:rPr>
            </w:pPr>
          </w:p>
          <w:p w:rsidR="00DD722F" w:rsidRPr="007425D2" w:rsidRDefault="00DD722F" w:rsidP="007145C2">
            <w:pPr>
              <w:rPr>
                <w:rFonts w:cstheme="minorHAnsi"/>
              </w:rPr>
            </w:pPr>
            <w:r>
              <w:rPr>
                <w:rFonts w:cstheme="minorHAnsi"/>
                <w:sz w:val="23"/>
                <w:szCs w:val="23"/>
              </w:rPr>
              <w:t xml:space="preserve">Mandatory use of </w:t>
            </w:r>
            <w:proofErr w:type="spellStart"/>
            <w:r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and referral to police and prosecutors </w:t>
            </w:r>
          </w:p>
        </w:tc>
        <w:tc>
          <w:tcPr>
            <w:tcW w:w="1440" w:type="dxa"/>
          </w:tcPr>
          <w:p w:rsidR="00491E6C" w:rsidRPr="007425D2" w:rsidRDefault="00DD722F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  <w:r w:rsidR="00491E6C" w:rsidRPr="007425D2">
              <w:rPr>
                <w:rFonts w:cstheme="minorHAnsi"/>
                <w:sz w:val="23"/>
                <w:szCs w:val="23"/>
              </w:rPr>
              <w:t>ssisting the</w:t>
            </w:r>
          </w:p>
          <w:p w:rsidR="00491E6C" w:rsidRPr="007425D2" w:rsidRDefault="00491E6C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municipality local child welfare services, which are the responsible</w:t>
            </w:r>
          </w:p>
          <w:p w:rsidR="00491E6C" w:rsidRPr="007425D2" w:rsidRDefault="00491E6C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and key agency in the Danish model, and through which all cases are</w:t>
            </w:r>
          </w:p>
          <w:p w:rsidR="00491E6C" w:rsidRDefault="00491E6C" w:rsidP="00430273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7425D2">
              <w:rPr>
                <w:rFonts w:cstheme="minorHAnsi"/>
                <w:sz w:val="23"/>
                <w:szCs w:val="23"/>
              </w:rPr>
              <w:t>channelled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>.</w:t>
            </w:r>
          </w:p>
          <w:p w:rsidR="00DD722F" w:rsidRPr="007425D2" w:rsidRDefault="00DD722F" w:rsidP="00430273">
            <w:pPr>
              <w:rPr>
                <w:rFonts w:cstheme="minorHAnsi"/>
              </w:rPr>
            </w:pPr>
            <w:r>
              <w:rPr>
                <w:rFonts w:cstheme="minorHAnsi"/>
                <w:sz w:val="23"/>
                <w:szCs w:val="23"/>
              </w:rPr>
              <w:t xml:space="preserve">Mandatory use of </w:t>
            </w:r>
            <w:proofErr w:type="spellStart"/>
            <w:r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and referral to municipal child welfare authorities 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Coordinates interagency collaboration, investigations, planning and case management; Facilitates information sharing between agencies;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Provide effective and systematic support to traumatized children and their families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Provides support to key agencies in conducting criminal and child welfare investigations</w:t>
            </w:r>
          </w:p>
          <w:p w:rsidR="00491E6C" w:rsidRPr="007425D2" w:rsidRDefault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Comprehensive </w:t>
            </w:r>
            <w:r w:rsidR="00491E6C" w:rsidRPr="007425D2">
              <w:rPr>
                <w:rFonts w:cstheme="minorHAnsi"/>
              </w:rPr>
              <w:t xml:space="preserve">and systematic support to children victims of violence and the non-offending parents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Forensic interviews </w:t>
            </w:r>
          </w:p>
        </w:tc>
        <w:tc>
          <w:tcPr>
            <w:tcW w:w="1501" w:type="dxa"/>
          </w:tcPr>
          <w:p w:rsidR="00491E6C" w:rsidRPr="007425D2" w:rsidRDefault="00DD722F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mental health professionals specialized in forensic interviews </w:t>
            </w:r>
            <w:r w:rsidR="00491E6C"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703" w:type="dxa"/>
          </w:tcPr>
          <w:p w:rsidR="00491E6C" w:rsidRPr="007425D2" w:rsidRDefault="00DD722F" w:rsidP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Forensic interview and criminal investigation are done by police and prosecution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police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DD722F" w:rsidP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police and prosecutor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Mental health professionals specialized in forensic interviews, accredited expert witnesses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Specialized child development specialists (social worker, psychologist, pedagogue), police or prosecution 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Joint forensic interviews: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Evidence based practice and protocols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Specialized staff</w:t>
            </w:r>
          </w:p>
          <w:p w:rsid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Location and recording</w:t>
            </w:r>
          </w:p>
          <w:p w:rsidR="000223C5" w:rsidRDefault="000223C5" w:rsidP="007425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Multi-disciplinary and interagency presence </w:t>
            </w:r>
          </w:p>
          <w:p w:rsidR="000223C5" w:rsidRPr="007425D2" w:rsidRDefault="000223C5" w:rsidP="007425D2">
            <w:pPr>
              <w:rPr>
                <w:rFonts w:cstheme="minorHAnsi"/>
              </w:rPr>
            </w:pPr>
            <w:r>
              <w:rPr>
                <w:rFonts w:cstheme="minorHAnsi"/>
              </w:rPr>
              <w:t>Adapted to the child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Assessment, therapy, support</w:t>
            </w:r>
          </w:p>
        </w:tc>
        <w:tc>
          <w:tcPr>
            <w:tcW w:w="1501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by in-house mental health professionals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703" w:type="dxa"/>
          </w:tcPr>
          <w:p w:rsidR="00491E6C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professionals </w:t>
            </w: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mental health professionals </w:t>
            </w: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>In-house mental health professionals</w:t>
            </w:r>
          </w:p>
        </w:tc>
        <w:tc>
          <w:tcPr>
            <w:tcW w:w="162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and youth care professionals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professionals 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0223C5" w:rsidP="000C7C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and youth care professionals - </w:t>
            </w:r>
            <w:r w:rsidRPr="000223C5">
              <w:rPr>
                <w:rFonts w:cstheme="minorHAnsi"/>
              </w:rPr>
              <w:t xml:space="preserve">Leading service </w:t>
            </w:r>
          </w:p>
        </w:tc>
        <w:tc>
          <w:tcPr>
            <w:tcW w:w="144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and youth care professionals 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 and treatment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and child participation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Crisis intervention 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Medical examination </w:t>
            </w:r>
          </w:p>
        </w:tc>
        <w:tc>
          <w:tcPr>
            <w:tcW w:w="1501" w:type="dxa"/>
          </w:tcPr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91E6C" w:rsidRPr="007425D2">
              <w:rPr>
                <w:rFonts w:cstheme="minorHAnsi"/>
              </w:rPr>
              <w:t>An experienced pediatrician, a gynecologist and a trained nurse, staff of the University Hospital of Iceland, are responsible for the examination</w:t>
            </w:r>
          </w:p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91E6C" w:rsidRPr="007425D2">
              <w:rPr>
                <w:rFonts w:cstheme="minorHAnsi"/>
              </w:rPr>
              <w:t>Acute forensic medicals are performed at the University Hospital</w:t>
            </w:r>
          </w:p>
        </w:tc>
        <w:tc>
          <w:tcPr>
            <w:tcW w:w="1703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F709DB" w:rsidRDefault="00F709DB" w:rsidP="00430273">
            <w:pPr>
              <w:rPr>
                <w:rFonts w:cstheme="minorHAnsi"/>
              </w:rPr>
            </w:pP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F709DB" w:rsidRDefault="00F709DB" w:rsidP="000C7C88">
            <w:pPr>
              <w:rPr>
                <w:rFonts w:cstheme="minorHAnsi"/>
              </w:rPr>
            </w:pP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Done outside the service</w:t>
            </w:r>
          </w:p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Contracts with medical facilities 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Accompanying the child for medical examination </w:t>
            </w:r>
          </w:p>
        </w:tc>
        <w:tc>
          <w:tcPr>
            <w:tcW w:w="135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Evaluation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Treatment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Case review and planning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and child participation</w:t>
            </w:r>
          </w:p>
          <w:p w:rsidR="00F709DB" w:rsidRPr="007425D2" w:rsidRDefault="00F709DB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Other tasks </w:t>
            </w:r>
          </w:p>
        </w:tc>
        <w:tc>
          <w:tcPr>
            <w:tcW w:w="1501" w:type="dxa"/>
          </w:tcPr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Consultation and advice to the local child protection services at requests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Coordination case meeting and case management prior to court testimonies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Interagency meetings for consultation prior referrals to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Education, training and awareness raising</w:t>
            </w:r>
          </w:p>
        </w:tc>
        <w:tc>
          <w:tcPr>
            <w:tcW w:w="1703" w:type="dxa"/>
          </w:tcPr>
          <w:p w:rsidR="00491E6C" w:rsidRPr="007425D2" w:rsidRDefault="00C75601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 protection – lead agency </w:t>
            </w:r>
            <w:r w:rsidR="00491E6C" w:rsidRPr="007425D2">
              <w:rPr>
                <w:rFonts w:cstheme="minorHAnsi"/>
              </w:rPr>
              <w:t xml:space="preserve"> Coordinates interagency collaboration, planning and case management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Responsible for child protection assessment and acute risk assessment</w:t>
            </w:r>
          </w:p>
          <w:p w:rsidR="00C75601" w:rsidRPr="007425D2" w:rsidRDefault="00C75601" w:rsidP="00C75601">
            <w:pPr>
              <w:rPr>
                <w:rFonts w:cstheme="minorHAnsi"/>
              </w:rPr>
            </w:pP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491E6C" w:rsidP="000C7C8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Youth protection and Safe at Home25 (LEAD)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 — Responsible for child protection assessment and acute risk assessment</w:t>
            </w:r>
          </w:p>
          <w:p w:rsidR="0031453F" w:rsidRPr="007425D2" w:rsidRDefault="0031453F" w:rsidP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1453F" w:rsidRPr="007425D2" w:rsidRDefault="0031453F" w:rsidP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 protection and social work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Raising awareness of professionals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Raising awareness of children, prevention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Work with perpetrators of violence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Civil cases with potential violence against children </w:t>
            </w:r>
          </w:p>
          <w:p w:rsidR="00C75601" w:rsidRP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Legal aid – counselling and representation (if parents </w:t>
            </w:r>
            <w:proofErr w:type="spellStart"/>
            <w:r>
              <w:rPr>
                <w:rFonts w:cstheme="minorHAnsi"/>
              </w:rPr>
              <w:t>can not</w:t>
            </w:r>
            <w:proofErr w:type="spellEnd"/>
            <w:r>
              <w:rPr>
                <w:rFonts w:cstheme="minorHAnsi"/>
              </w:rPr>
              <w:t xml:space="preserve"> afford)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Target group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and physical violence </w:t>
            </w:r>
          </w:p>
          <w:p w:rsidR="00491E6C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Below 15</w:t>
            </w:r>
          </w:p>
          <w:p w:rsidR="000223C5" w:rsidRDefault="000223C5" w:rsidP="00A46238">
            <w:pPr>
              <w:rPr>
                <w:rFonts w:cstheme="minorHAnsi"/>
              </w:rPr>
            </w:pPr>
          </w:p>
          <w:p w:rsidR="000223C5" w:rsidRPr="007425D2" w:rsidRDefault="000223C5" w:rsidP="00A462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Non-offending parents 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abuse and physical violence. National guidelines also include FGM, witnesses of violence; </w:t>
            </w:r>
            <w:proofErr w:type="spellStart"/>
            <w:r w:rsidRPr="007425D2">
              <w:rPr>
                <w:rFonts w:cstheme="minorHAnsi"/>
              </w:rPr>
              <w:t>honour</w:t>
            </w:r>
            <w:proofErr w:type="spellEnd"/>
            <w:r w:rsidRPr="007425D2">
              <w:rPr>
                <w:rFonts w:cstheme="minorHAnsi"/>
              </w:rPr>
              <w:t xml:space="preserve"> crimes; children who sexually abuse other children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abuse, direct and indirect violence, homicide and gender </w:t>
            </w:r>
            <w:proofErr w:type="spellStart"/>
            <w:r w:rsidRPr="007425D2">
              <w:rPr>
                <w:rFonts w:cstheme="minorHAnsi"/>
              </w:rPr>
              <w:t>mutilitation</w:t>
            </w:r>
            <w:proofErr w:type="spellEnd"/>
            <w:r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Below 16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Sexual abuse and physical violence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victims of sexual abuse </w:t>
            </w:r>
          </w:p>
        </w:tc>
        <w:tc>
          <w:tcPr>
            <w:tcW w:w="144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Traumatize children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Families in crisis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All types of violence, including witnesses of domestic violence. Random civil and trauma cases (parental conflict)</w:t>
            </w:r>
          </w:p>
        </w:tc>
        <w:tc>
          <w:tcPr>
            <w:tcW w:w="1350" w:type="dxa"/>
          </w:tcPr>
          <w:p w:rsidR="00491E6C" w:rsidRPr="0031453F" w:rsidRDefault="007425D2">
            <w:pPr>
              <w:rPr>
                <w:rFonts w:cstheme="minorHAnsi"/>
              </w:rPr>
            </w:pPr>
            <w:r w:rsidRPr="0031453F">
              <w:rPr>
                <w:rFonts w:eastAsia="Calibri" w:cstheme="minorHAnsi"/>
              </w:rPr>
              <w:t>all children who are victims and/or witnesses of crime involving all forms of violence</w:t>
            </w:r>
            <w:r w:rsidRPr="0031453F">
              <w:rPr>
                <w:rFonts w:eastAsia="Calibri" w:cstheme="minorHAnsi"/>
                <w:vertAlign w:val="superscript"/>
              </w:rPr>
              <w:footnoteReference w:id="1"/>
            </w:r>
            <w:r w:rsidRPr="0031453F">
              <w:rPr>
                <w:rFonts w:eastAsia="Calibri" w:cstheme="minorHAnsi"/>
              </w:rPr>
              <w:t xml:space="preserve">. Non-offending family/caregivers are included as a secondary target group.  </w:t>
            </w:r>
          </w:p>
        </w:tc>
      </w:tr>
    </w:tbl>
    <w:p w:rsidR="00397A75" w:rsidRDefault="00397A75"/>
    <w:p w:rsidR="007425D2" w:rsidRDefault="007425D2">
      <w:r>
        <w:t>Review is based on:</w:t>
      </w:r>
    </w:p>
    <w:p w:rsidR="007425D2" w:rsidRDefault="007425D2">
      <w:r>
        <w:t xml:space="preserve">Implementing the Nordic </w:t>
      </w:r>
      <w:proofErr w:type="spellStart"/>
      <w:r>
        <w:t>Barnahus</w:t>
      </w:r>
      <w:proofErr w:type="spellEnd"/>
      <w:r>
        <w:t xml:space="preserve"> Model: characteristics and local adaptations - </w:t>
      </w:r>
      <w:hyperlink r:id="rId8" w:history="1">
        <w:r w:rsidRPr="007D5469">
          <w:rPr>
            <w:rStyle w:val="Hyperlink"/>
          </w:rPr>
          <w:t>https://www.researchgate.net/publication/320447361_Implementing_the_Nordic_Barnahus_Model_Characteristics_and_Local_Adaptions</w:t>
        </w:r>
      </w:hyperlink>
    </w:p>
    <w:p w:rsidR="007425D2" w:rsidRDefault="007425D2">
      <w:proofErr w:type="spellStart"/>
      <w:r w:rsidRPr="007425D2">
        <w:t>Barnahus</w:t>
      </w:r>
      <w:proofErr w:type="spellEnd"/>
      <w:r w:rsidRPr="007425D2">
        <w:t xml:space="preserve"> Quality Standards Guidance for Multidisciplinary and Interagency Response to Child Victims and Witnesses of Violence</w:t>
      </w:r>
      <w:r>
        <w:t xml:space="preserve"> - </w:t>
      </w:r>
      <w:hyperlink r:id="rId9" w:history="1">
        <w:r w:rsidRPr="007D5469">
          <w:rPr>
            <w:rStyle w:val="Hyperlink"/>
          </w:rPr>
          <w:t>http://www.childrenatrisk.eu/promise/wp-content/uploads/sites/4/2018/04/PROMISE-Barnahus-Quality-Standards.pdf</w:t>
        </w:r>
      </w:hyperlink>
    </w:p>
    <w:p w:rsidR="007425D2" w:rsidRDefault="00397E11">
      <w:pPr>
        <w:rPr>
          <w:rStyle w:val="Hyperlink"/>
        </w:rPr>
      </w:pPr>
      <w:hyperlink r:id="rId10" w:history="1">
        <w:r w:rsidR="007425D2" w:rsidRPr="007D5469">
          <w:rPr>
            <w:rStyle w:val="Hyperlink"/>
          </w:rPr>
          <w:t>https://www.sotsiaalkindlustusamet.ee/en/family-and-child-protection/childrens-house</w:t>
        </w:r>
      </w:hyperlink>
    </w:p>
    <w:p w:rsidR="0031453F" w:rsidRPr="0031453F" w:rsidRDefault="00397E11">
      <w:pPr>
        <w:rPr>
          <w:lang w:val="bg-BG"/>
        </w:rPr>
      </w:pPr>
      <w:hyperlink r:id="rId11" w:history="1">
        <w:r w:rsidR="0031453F" w:rsidRPr="006511BB">
          <w:rPr>
            <w:rStyle w:val="Hyperlink"/>
            <w:lang w:val="bg-BG"/>
          </w:rPr>
          <w:t>https://www.unicef.org/bulgaria/stop-%D0%BD%D0%B0-%D0%BD%D0%B0%D1%81%D0%B8%D0%BB%D0%B8%D0%B5%D1%82%D0%BE-%D0%BD%D0%B0%D0%B4-%D0%B4%D0%B5%D1%86%D0%B0</w:t>
        </w:r>
      </w:hyperlink>
      <w:r w:rsidR="0031453F">
        <w:rPr>
          <w:lang w:val="bg-BG"/>
        </w:rPr>
        <w:t xml:space="preserve"> </w:t>
      </w:r>
    </w:p>
    <w:p w:rsidR="007425D2" w:rsidRPr="007425D2" w:rsidRDefault="007425D2">
      <w:pPr>
        <w:rPr>
          <w:lang w:val="bg-BG"/>
        </w:rPr>
      </w:pPr>
    </w:p>
    <w:p w:rsidR="007425D2" w:rsidRDefault="007425D2"/>
    <w:sectPr w:rsidR="007425D2" w:rsidSect="00491E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11" w:rsidRDefault="00397E11" w:rsidP="007425D2">
      <w:pPr>
        <w:spacing w:after="0" w:line="240" w:lineRule="auto"/>
      </w:pPr>
      <w:r>
        <w:separator/>
      </w:r>
    </w:p>
  </w:endnote>
  <w:endnote w:type="continuationSeparator" w:id="0">
    <w:p w:rsidR="00397E11" w:rsidRDefault="00397E11" w:rsidP="0074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11" w:rsidRDefault="00397E11" w:rsidP="007425D2">
      <w:pPr>
        <w:spacing w:after="0" w:line="240" w:lineRule="auto"/>
      </w:pPr>
      <w:r>
        <w:separator/>
      </w:r>
    </w:p>
  </w:footnote>
  <w:footnote w:type="continuationSeparator" w:id="0">
    <w:p w:rsidR="00397E11" w:rsidRDefault="00397E11" w:rsidP="007425D2">
      <w:pPr>
        <w:spacing w:after="0" w:line="240" w:lineRule="auto"/>
      </w:pPr>
      <w:r>
        <w:continuationSeparator/>
      </w:r>
    </w:p>
  </w:footnote>
  <w:footnote w:id="1">
    <w:p w:rsidR="007425D2" w:rsidRDefault="007425D2" w:rsidP="007425D2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Violence is here defined according to the UNCRC article 19 and the CRC General Comment no 13 (2011).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A79"/>
    <w:multiLevelType w:val="hybridMultilevel"/>
    <w:tmpl w:val="7DC8C88C"/>
    <w:lvl w:ilvl="0" w:tplc="E17A8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712D5"/>
    <w:multiLevelType w:val="hybridMultilevel"/>
    <w:tmpl w:val="0C546774"/>
    <w:lvl w:ilvl="0" w:tplc="313AE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38"/>
    <w:rsid w:val="000223C5"/>
    <w:rsid w:val="000C7C88"/>
    <w:rsid w:val="002C5574"/>
    <w:rsid w:val="0031453F"/>
    <w:rsid w:val="00397A75"/>
    <w:rsid w:val="00397E11"/>
    <w:rsid w:val="003B1950"/>
    <w:rsid w:val="00430273"/>
    <w:rsid w:val="00491E6C"/>
    <w:rsid w:val="0051009F"/>
    <w:rsid w:val="00705A88"/>
    <w:rsid w:val="007145C2"/>
    <w:rsid w:val="007425D2"/>
    <w:rsid w:val="00A46238"/>
    <w:rsid w:val="00B2445E"/>
    <w:rsid w:val="00C75601"/>
    <w:rsid w:val="00CD150C"/>
    <w:rsid w:val="00DD16BC"/>
    <w:rsid w:val="00DD722F"/>
    <w:rsid w:val="00E41C46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7425D2"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7425D2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7425D2"/>
    <w:rPr>
      <w:rFonts w:ascii="Calibri" w:eastAsia="Calibri" w:hAnsi="Calibri" w:cs="Calibri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742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5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25D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7425D2"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7425D2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7425D2"/>
    <w:rPr>
      <w:rFonts w:ascii="Calibri" w:eastAsia="Calibri" w:hAnsi="Calibri" w:cs="Calibri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742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5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25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0447361_Implementing_the_Nordic_Barnahus_Model_Characteristics_and_Local_Adaption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nicef.org/bulgaria/stop-%D0%BD%D0%B0-%D0%BD%D0%B0%D1%81%D0%B8%D0%BB%D0%B8%D0%B5%D1%82%D0%BE-%D0%BD%D0%B0%D0%B4-%D0%B4%D0%B5%D1%86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tsiaalkindlustusamet.ee/en/family-and-child-protection/childrens-ho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ldrenatrisk.eu/promise/wp-content/uploads/sites/4/2018/04/PROMISE-Barnahus-Quality-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Harizanova</dc:creator>
  <cp:lastModifiedBy>Lia</cp:lastModifiedBy>
  <cp:revision>2</cp:revision>
  <dcterms:created xsi:type="dcterms:W3CDTF">2020-03-12T16:29:00Z</dcterms:created>
  <dcterms:modified xsi:type="dcterms:W3CDTF">2020-03-12T16:29:00Z</dcterms:modified>
</cp:coreProperties>
</file>